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tabs>
          <w:tab w:val="left" w:leader="none" w:pos="1139"/>
        </w:tabs>
        <w:spacing w:after="240" w:before="240" w:line="276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IVP – zhodnocení průběhu a výsledku vzdělávání žáka za _. pololetí školního roku 202_/202_</w:t>
      </w:r>
    </w:p>
    <w:p w:rsidR="00000000" w:rsidDel="00000000" w:rsidP="00000000" w:rsidRDefault="00000000" w:rsidRPr="00000000" w14:paraId="00000002">
      <w:pPr>
        <w:tabs>
          <w:tab w:val="left" w:leader="none" w:pos="1139"/>
        </w:tabs>
        <w:spacing w:line="24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Předmět:     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Výtvarná výchova</w:t>
      </w:r>
    </w:p>
    <w:p w:rsidR="00000000" w:rsidDel="00000000" w:rsidP="00000000" w:rsidRDefault="00000000" w:rsidRPr="00000000" w14:paraId="00000003">
      <w:pPr>
        <w:tabs>
          <w:tab w:val="left" w:leader="none" w:pos="1139"/>
        </w:tabs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39"/>
        </w:tabs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Zpracovala:         </w:t>
        <w:tab/>
        <w:tab/>
        <w:tab/>
        <w:tab/>
        <w:tab/>
        <w:tab/>
        <w:tab/>
        <w:t xml:space="preserve">Datum:                </w:t>
      </w:r>
    </w:p>
    <w:p w:rsidR="00000000" w:rsidDel="00000000" w:rsidP="00000000" w:rsidRDefault="00000000" w:rsidRPr="00000000" w14:paraId="00000005">
      <w:pPr>
        <w:tabs>
          <w:tab w:val="left" w:leader="none" w:pos="1139"/>
        </w:tabs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139"/>
        </w:tabs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Žák/yně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_________________________________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naplnil/a výstupy stanovené RVP ZV pro 2. stupeň v oboru Výtvarná výchova. Prokazuje schopnost uplatňovat základní dovednosti při vlastní tvorbě – dokáže rozeznávat, pojmenovat a záměrně využívat prvky vizuálně obrazného vyjadřování, jako jsou linie, barvy či tvary. Při své tvorbě vychází ze smyslových vjemů, fantazie i osobních zkušeností a dokáže vyjádřit prožívané pocity prostřednictvím vlastních výtvorů. Výtvarná díla žáka/yně reflektují vědomé užití kontrastů, prostorových vztahů a estetických principů, prokazuje schopnost samostatně volit techniky, nástroje a pracovní postupy adekvátní zadanému tématu. Součástí jeho/její činnosti je také schopnost interpretace – dokáže popsat, co na vlastních či cizích dílech vnímá, jaké pocity nebo asociace mu/jí vyvolávají .</w:t>
      </w:r>
    </w:p>
    <w:p w:rsidR="00000000" w:rsidDel="00000000" w:rsidP="00000000" w:rsidRDefault="00000000" w:rsidRPr="00000000" w14:paraId="00000007">
      <w:pPr>
        <w:tabs>
          <w:tab w:val="left" w:leader="none" w:pos="1139"/>
        </w:tabs>
        <w:spacing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Zadání, pracovní postupy i výuky byly pečlivě přizpůsobeny individuálním potřebám žáka/yně. Učitel využíval upravené formy zadání (např. zjednodušená témata, variabilní výtvarné techniky), umožnil flexibilní časový plán pro dokončení úloh, nabídl individuální instruktáž a vhodně dávkoval nástroje a podpůrné materiály. Díky těmto přístupům žák/yně dosáhl/a stanovených výstupů – umí identifikovat vizuální prvky, tvořit strukturovaným a tvůrčím způsobem, vybírat esteticky a technicky vhodné postupy a zároveň reflektovat vlastní proces i výsledek. Takový přístup nejen podporuje cíle RVP ZV, ale také respektuje individuální tempo a způsob učení žáka/yně.</w:t>
      </w:r>
    </w:p>
    <w:p w:rsidR="00000000" w:rsidDel="00000000" w:rsidP="00000000" w:rsidRDefault="00000000" w:rsidRPr="00000000" w14:paraId="00000008">
      <w:pPr>
        <w:tabs>
          <w:tab w:val="left" w:leader="none" w:pos="1139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55"/>
        <w:gridCol w:w="2895"/>
        <w:gridCol w:w="2340"/>
        <w:tblGridChange w:id="0">
          <w:tblGrid>
            <w:gridCol w:w="5055"/>
            <w:gridCol w:w="2895"/>
            <w:gridCol w:w="234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1139"/>
              </w:tabs>
              <w:spacing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Učivo a výstupy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1139"/>
              </w:tabs>
              <w:spacing w:before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Hodnocení</w:t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567"/>
              </w:tabs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Očekávané výstupy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1915"/>
              </w:tabs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VV-9-1-01</w:t>
              <w:tab/>
              <w:t xml:space="preserve">vybírá, vytváří a pojmenovává prvky vizuálně obrazných vyjádření a jejich vztahů; uplatňuje je pro vyjádření vlastních zkušeností, vjemů, představ a poznatků; variuje různé prvky a jejich vztahy pro získání osobitých výsledků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1915"/>
              </w:tabs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1915"/>
              </w:tabs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VV-9-1-02</w:t>
              <w:tab/>
              <w:t xml:space="preserve">zaznamenává vizuální zkušenost, i zkušenosti získané ostatními smysly, zaznamenává podněty z představ a fantazie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1915"/>
              </w:tabs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1915"/>
              </w:tabs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VV-9-1-03</w:t>
              <w:tab/>
              <w:t xml:space="preserve">zachycuje jevy a procesy v proměnách a vztazích; k tvorbě užívá některé metody uplatňované v současném výtvarném umění a digitálních médiích – počítačová grafika, fotografie, video, animace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1915"/>
              </w:tabs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1915"/>
              </w:tabs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VV-9-1-04</w:t>
              <w:tab/>
              <w:t xml:space="preserve">vybírá, kombinuje a vytváří prostředky pro vlastní osobité vyjádření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1915"/>
              </w:tabs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VV-9-1-05</w:t>
              <w:tab/>
              <w:t xml:space="preserve">rozliší působení vizuálně obrazného vyjádření v rovině smyslového účinku, v rovině subjektivního účinku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1915"/>
              </w:tabs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915"/>
              </w:tabs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VV-9-1-06</w:t>
              <w:tab/>
              <w:t xml:space="preserve">interpretuje umělecká vizuálně obrazná vyjádření současnosti i minulosti; vychází při tom ze svých znalostí historických souvislostí i z osobních zkušeností a prožitků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1915"/>
              </w:tabs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1915"/>
              </w:tabs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VV-9-1-07</w:t>
              <w:tab/>
              <w:t xml:space="preserve">ověřuje komunikační účinky vybraných, upravených či samostatně vytvořených vizuálně obrazných vyjádření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100" w:line="276" w:lineRule="auto"/>
              <w:rPr>
                <w:rFonts w:ascii="Bookman Old Style" w:cs="Bookman Old Style" w:eastAsia="Bookman Old Style" w:hAnsi="Bookman Old Style"/>
                <w:b w:val="1"/>
                <w:i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1"/>
                <w:rtl w:val="0"/>
              </w:rPr>
              <w:t xml:space="preserve">ROZVÍJENÍ SMYSLOVÉ CITLIVOSTI 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100" w:line="276" w:lineRule="auto"/>
              <w:rPr>
                <w:rFonts w:ascii="Bookman Old Style" w:cs="Bookman Old Style" w:eastAsia="Bookman Old Style" w:hAnsi="Bookman Old Style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splnil</w:t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100" w:line="276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1"/>
                <w:rtl w:val="0"/>
              </w:rPr>
              <w:t xml:space="preserve">OVĚŘOVÁNÍ KOMUNIKAČNÍCH ÚČINKŮ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1139"/>
              </w:tabs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splnil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100" w:line="276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1"/>
                <w:rtl w:val="0"/>
              </w:rPr>
              <w:t xml:space="preserve">UPLATŇOVÁNÍ SUBJEKTIVITY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1139"/>
              </w:tabs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splnil</w:t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leader="none" w:pos="1139"/>
        </w:tabs>
        <w:spacing w:line="276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139"/>
        </w:tabs>
        <w:spacing w:line="276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139"/>
        </w:tabs>
        <w:spacing w:line="276" w:lineRule="auto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Hodnocení známkou: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139"/>
        </w:tabs>
        <w:spacing w:after="240" w:before="240" w:line="276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Podpis zákonného zástupce: </w:t>
        <w:tab/>
        <w:tab/>
        <w:tab/>
        <w:tab/>
        <w:tab/>
        <w:t xml:space="preserve">Podpis vyučující:</w:t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